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Atención en unidades de primer nivel</w:t>
      </w:r>
    </w:p>
    <w:p w:rsidR="00000000" w:rsidDel="00000000" w:rsidP="00000000" w:rsidRDefault="00000000" w:rsidRPr="00000000" w14:paraId="00000002">
      <w:pPr>
        <w:shd w:fill="ffffff" w:val="clear"/>
        <w:jc w:val="both"/>
        <w:rPr>
          <w:rFonts w:ascii="Calibri" w:cs="Calibri" w:eastAsia="Calibri" w:hAnsi="Calibri"/>
          <w:color w:val="2f2f2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left"/>
        <w:tblInd w:w="72.0" w:type="dxa"/>
        <w:tblLayout w:type="fixed"/>
        <w:tblLook w:val="0400"/>
      </w:tblPr>
      <w:tblGrid>
        <w:gridCol w:w="7020"/>
        <w:gridCol w:w="2335"/>
        <w:tblGridChange w:id="0">
          <w:tblGrid>
            <w:gridCol w:w="7020"/>
            <w:gridCol w:w="2335"/>
          </w:tblGrid>
        </w:tblGridChange>
      </w:tblGrid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 de servicio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Costo unitario actualizado al 2024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Consulta de medicina familiar (incluye las consultas de salud en el trabajo)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$ 1,174.00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Consulta dental (estomatología)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1,040.00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Atención de urgencias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1,020.00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Curaciones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387.00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Estudio de laboratorio clínico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141.00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Estudio de radiodiagnóstico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556.00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Estudio de ultrasonografía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850.00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Traslado en ambulancia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2,588.00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Sesión de hemodiálisis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3,573.00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Sesión de quimioterapia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7,653.00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Intervención de tococirugía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19,228.00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Día paciente en hospitalización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12,742.00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Intervención quirúrgica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12,664.00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Consulta/Sesión de medicina física y rehabilitación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1,406.00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Terapia psicológica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1,603.00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Estudio/Procedimiento de endoscopía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4,918.00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Sesión de diálisis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147.00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Prueba rápida de detección de antígenos del virus SARS-CoV-2 (COVID-19)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252.00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Prueba RT-PCR de detección de material genético del COVID-19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2,222.00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hd w:fill="ffffff" w:val="clear"/>
        <w:jc w:val="both"/>
        <w:rPr>
          <w:rFonts w:ascii="Calibri" w:cs="Calibri" w:eastAsia="Calibri" w:hAnsi="Calibri"/>
          <w:color w:val="2f2f2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JBVwhuUQ8ANb0oO3Sco7AYxaiA==">CgMxLjA4AHIhMVV4aFhYXzVxMXVWRTc5cnNMaENwd2VfaVZ5NzN1RnVv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